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DD" w:rsidRDefault="002F7DDD" w:rsidP="00804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D31">
        <w:rPr>
          <w:rFonts w:ascii="Times New Roman" w:hAnsi="Times New Roman" w:cs="Times New Roman"/>
          <w:b/>
          <w:i/>
          <w:sz w:val="24"/>
          <w:szCs w:val="24"/>
        </w:rPr>
        <w:t>Технологии формирования функциональной грамотности обучающихся на уроках математики</w:t>
      </w:r>
    </w:p>
    <w:p w:rsidR="00804D31" w:rsidRPr="00804D31" w:rsidRDefault="00804D31" w:rsidP="00804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7DA9" w:rsidRPr="00804D31" w:rsidRDefault="002F7DDD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При комплексном подходе к анализу конкурентоспособности образования страны, который невозможно оценить вне контекста международных исследований качества образования, выделяются три типа индикаторов: — функционирование образовательной системы в целом (например, охват, финансирование, дифференциация); — характеристики образовательного процесса на уровне образовательных организаций (структура, условия, кадры, содержание, технологии); — образовательные результаты.</w:t>
      </w:r>
    </w:p>
    <w:p w:rsidR="002F7DDD" w:rsidRPr="00804D31" w:rsidRDefault="002F7DDD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Именно результаты международных исследований PIRLS, TIMSS, PISA служат целевыми показателями качества образования страны, которые отражены в Государственной программе РФ «Развитие образования» (2018‒2025 годы) от 26 декабря 2017 года. Особый интерес представляет исследование PISA - Международная оценка образовательных достижений учащихся (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). В этой программе впервые реализуется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подход в оценке образовательных достижений. Исследование PISA ставит своей целью проверку подготовки молодежи к «взрослой» жизни, что отличает его от других международных исследований.</w:t>
      </w:r>
    </w:p>
    <w:p w:rsidR="002F7DDD" w:rsidRPr="00804D31" w:rsidRDefault="002F7DDD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 xml:space="preserve">Причины низких результатов российских школьников в международных исследованиях. </w:t>
      </w:r>
    </w:p>
    <w:p w:rsidR="002F7DDD" w:rsidRPr="00804D31" w:rsidRDefault="002F7DDD" w:rsidP="00804D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неумение работать с геометрическими моделями и схемами: непонимание предлагаемых задач, сопровождающихся такими схемами, и неспособность использовать такие схемы как инструмент решения;</w:t>
      </w:r>
    </w:p>
    <w:p w:rsidR="002F7DDD" w:rsidRPr="00804D31" w:rsidRDefault="002F7DDD" w:rsidP="00804D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низкая практикоориентированность знаний в математике, излишняя академичность;</w:t>
      </w:r>
    </w:p>
    <w:p w:rsidR="002F7DDD" w:rsidRPr="00804D31" w:rsidRDefault="002F7DDD" w:rsidP="00804D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низкий уровень работы с текстовыми задачами</w:t>
      </w:r>
    </w:p>
    <w:p w:rsidR="002F7DDD" w:rsidRPr="00804D31" w:rsidRDefault="002F7DDD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Используя опыт стран-лидеров, можно выделить эффективные практики, способствующие повышению уровня функциональной грамотности обучающихся.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04D3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Технология обучения в сотрудничестве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Технология   проблемного обучения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Проектное обучение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Технология обучения с помощью опорных схем и опорных сигналов 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2F7DDD" w:rsidRPr="00804D31" w:rsidRDefault="002F7DDD" w:rsidP="00804D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D3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04D31">
        <w:rPr>
          <w:rFonts w:ascii="Times New Roman" w:hAnsi="Times New Roman" w:cs="Times New Roman"/>
          <w:sz w:val="24"/>
          <w:szCs w:val="24"/>
        </w:rPr>
        <w:t xml:space="preserve">  технологии</w:t>
      </w:r>
    </w:p>
    <w:p w:rsidR="002F7DDD" w:rsidRPr="00804D31" w:rsidRDefault="002F7DDD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В вопросе формирования функциональной грамотности можно выделить, по крайней мере, два направления. Первое – это ежедневная работа учителя в рамках учебного процесса. Например, формирование читательской грамотности - 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 информацию и формулировать выводы, интерпретировать информацию и применять её в новых ситуациях, в том числе, не рассмотренных в учебнике. 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 Вторым направлением формирования функциональной грамотности является дополнительное и предпрофессиональное образование для школьников</w:t>
      </w:r>
      <w:r w:rsidR="00D55C78" w:rsidRPr="00804D31">
        <w:rPr>
          <w:rFonts w:ascii="Times New Roman" w:hAnsi="Times New Roman" w:cs="Times New Roman"/>
          <w:sz w:val="24"/>
          <w:szCs w:val="24"/>
        </w:rPr>
        <w:t>.</w:t>
      </w:r>
    </w:p>
    <w:p w:rsidR="00D55C78" w:rsidRPr="00804D31" w:rsidRDefault="00D55C78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 xml:space="preserve">На уроках математики формируются математическая и читательская грамотность. Математическая грамотность способствует активному применению математики для решения возникающих в повседневной жизни проблем. Это выражается в умении решать практические задачи из повседневной жизни. </w:t>
      </w:r>
    </w:p>
    <w:p w:rsidR="00D55C78" w:rsidRPr="00804D31" w:rsidRDefault="00D55C78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Содержание заданий основано на предметных результатах освоения школьной программы. Основное содержание обучения на уровне начальной школы в образовательной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Математическое содержание обучения на уровне основной и старшей школы, кроме уже изученных в курсе начальной школы, затрагивает такие области содержания обучения как «Изменения и зависимость» (зависимость между переменными, временные и постоянные связи, математическое моделирование), «Пространство и форма» (геометрические формы, пространственная визуализация), «Неопределенность и данные» (вероятностные и статистические явления, работа с информацией, научное прогнозирование), «Количество» (интерпретация данных, понимание единиц измерения, использование арифметического мышления).</w:t>
      </w:r>
    </w:p>
    <w:p w:rsidR="00804D31" w:rsidRPr="00804D31" w:rsidRDefault="00804D31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lastRenderedPageBreak/>
        <w:t>Структура заданий для формирования и оценки математической грамотности</w:t>
      </w:r>
    </w:p>
    <w:p w:rsidR="00804D31" w:rsidRPr="00804D31" w:rsidRDefault="00804D31" w:rsidP="00804D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Контекст (личная и общественная жизнь, профессиональная и научная деятельность),в котором представлена проблема.</w:t>
      </w:r>
    </w:p>
    <w:p w:rsidR="00804D31" w:rsidRPr="00804D31" w:rsidRDefault="00804D31" w:rsidP="00804D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 xml:space="preserve">Математическое содержание, которое используется в тестовых заданиях </w:t>
      </w:r>
    </w:p>
    <w:p w:rsidR="00804D31" w:rsidRPr="00804D31" w:rsidRDefault="00804D31" w:rsidP="00804D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31">
        <w:rPr>
          <w:rFonts w:ascii="Times New Roman" w:hAnsi="Times New Roman" w:cs="Times New Roman"/>
          <w:sz w:val="24"/>
          <w:szCs w:val="24"/>
        </w:rPr>
        <w:t>Когнитивные процессы (мыслительная деятельность), которые описывают, что делает ученик, чтобы связать контекст, в котором представлена проблема, с математикой, необходимой для её решения</w:t>
      </w:r>
    </w:p>
    <w:p w:rsidR="00804D31" w:rsidRDefault="00804D31" w:rsidP="0080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показаны примеры таких заданий.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7446"/>
        <w:gridCol w:w="2179"/>
        <w:gridCol w:w="2518"/>
        <w:gridCol w:w="2608"/>
      </w:tblGrid>
      <w:tr w:rsidR="00135C09" w:rsidRPr="00135C09" w:rsidTr="00135C09">
        <w:trPr>
          <w:jc w:val="center"/>
        </w:trPr>
        <w:tc>
          <w:tcPr>
            <w:tcW w:w="85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446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задания</w:t>
            </w:r>
          </w:p>
        </w:tc>
        <w:tc>
          <w:tcPr>
            <w:tcW w:w="2179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задания</w:t>
            </w:r>
          </w:p>
        </w:tc>
        <w:tc>
          <w:tcPr>
            <w:tcW w:w="251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 по решению задания</w:t>
            </w:r>
          </w:p>
        </w:tc>
        <w:tc>
          <w:tcPr>
            <w:tcW w:w="260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оценивая</w:t>
            </w:r>
          </w:p>
        </w:tc>
      </w:tr>
      <w:tr w:rsidR="00135C09" w:rsidRPr="00135C09" w:rsidTr="00135C09">
        <w:trPr>
          <w:jc w:val="center"/>
        </w:trPr>
        <w:tc>
          <w:tcPr>
            <w:tcW w:w="85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6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618BC" wp14:editId="045FBE4A">
                  <wp:extent cx="4589780" cy="25273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297" t="35063" r="21459" b="26261"/>
                          <a:stretch/>
                        </pic:blipFill>
                        <pic:spPr bwMode="auto">
                          <a:xfrm>
                            <a:off x="0" y="0"/>
                            <a:ext cx="4613571" cy="25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Контекст: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Математическое содержание: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Изменения и зависимости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Когнитивные процессы: 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Интерпретировать/ оценивать</w:t>
            </w:r>
          </w:p>
        </w:tc>
        <w:tc>
          <w:tcPr>
            <w:tcW w:w="251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В первую очередь, смотря на таблицу, обучающийся должен определить, что у туриста всего 10 часов.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Затем, учитывая это время, условие о 3-х разных экскурсиях, обучающийся приходит к выводу, что можно составить 2 варианта 15 и 24</w:t>
            </w:r>
          </w:p>
        </w:tc>
        <w:tc>
          <w:tcPr>
            <w:tcW w:w="260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оценивается </w:t>
            </w:r>
            <w:r w:rsidRPr="00135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строить и исследовать простейшие математические модели.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оценивается полностью, если предложены оба варианта (2 балла). Ели предложен один вариант, то задание оценивается частично (1 балл).</w:t>
            </w:r>
          </w:p>
        </w:tc>
      </w:tr>
      <w:tr w:rsidR="00135C09" w:rsidRPr="00135C09" w:rsidTr="00135C09">
        <w:trPr>
          <w:jc w:val="center"/>
        </w:trPr>
        <w:tc>
          <w:tcPr>
            <w:tcW w:w="85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6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noProof/>
                <w:sz w:val="24"/>
                <w:szCs w:val="24"/>
              </w:rPr>
              <w:t>Коля весит 45кг, Дима – на 7 кг меньше, а Вася – на 5кг больше Димы. Смогут ли эти ребята подняться одновременно на лифте, если этот лифт за один раз поднимает не больше 120 кг.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9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Контекст: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Математическое содержание: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Изменения и зависимости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Когнитивные процессы: 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Интерпретировать/ оценивать</w:t>
            </w:r>
          </w:p>
        </w:tc>
        <w:tc>
          <w:tcPr>
            <w:tcW w:w="251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Коля – 45 кг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Дима – 45-7=38 кг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Вася – 38+5=43 кг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45+38+43=126 кг-общий вес ребят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Вес лифта 120 кг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>Ответ: не могут</w:t>
            </w:r>
          </w:p>
        </w:tc>
        <w:tc>
          <w:tcPr>
            <w:tcW w:w="2608" w:type="dxa"/>
          </w:tcPr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C09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оценивается </w:t>
            </w:r>
            <w:r w:rsidRPr="00135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135C09" w:rsidRPr="00135C09" w:rsidRDefault="00135C09" w:rsidP="001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оценивается в 1 балл, если представлено решение и сделан вывод.</w:t>
            </w:r>
          </w:p>
        </w:tc>
      </w:tr>
    </w:tbl>
    <w:p w:rsidR="00135C09" w:rsidRPr="00135C09" w:rsidRDefault="00135C09" w:rsidP="0013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Для диагностики уровня </w:t>
      </w:r>
      <w:proofErr w:type="spellStart"/>
      <w:r w:rsidRPr="00135C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5C09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также используются различные задания. Вот их ключевые особенности: 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>Контекстом задания является реальная жизненная ситуация, понятная учащемуся;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В ходе обучения делается упор на развитие нелинейного, нешаблонного мышления, решение нестандартных проблем. 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C09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135C09">
        <w:rPr>
          <w:rFonts w:ascii="Times New Roman" w:hAnsi="Times New Roman" w:cs="Times New Roman"/>
          <w:sz w:val="24"/>
          <w:szCs w:val="24"/>
        </w:rPr>
        <w:t xml:space="preserve"> обучения становится важнейшим компонентом образовательного процесса: одна компетенция развивается в контексте максимально возможном количестве предметных областей. 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Учащиеся не только получают знания, но и развивают навыки, связанные с применением теоретического предметного материала на практике. 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lastRenderedPageBreak/>
        <w:t xml:space="preserve">Широко используются графические материалы и прием перевода одного вида информации в другой. </w:t>
      </w:r>
    </w:p>
    <w:p w:rsidR="00135C09" w:rsidRPr="00135C09" w:rsidRDefault="00135C09" w:rsidP="00135C09">
      <w:pPr>
        <w:pStyle w:val="a4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В заданиях часто присутствуют лишние, избыточные данные, что требует от учащихся развитых навыков анализа, интерпретации и оценки информации. </w:t>
      </w:r>
    </w:p>
    <w:p w:rsidR="00804D31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>Задания на оценку математической грамотности отличаются комплексным подходом: в рамках мониторинга проверяется готовность использовать мыслительные процессы, владение математическим инструментарием в рамках возможностей конкретной возрастной группы и способность решать учебные и практические математические задачи, которые основаны на событиях из повседневной жизни.</w:t>
      </w:r>
    </w:p>
    <w:p w:rsidR="00135C09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C09" w:rsidRPr="00135C09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135C09" w:rsidRPr="00135C09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1. Формирование и оценка функциональной грамотности учащихся: </w:t>
      </w:r>
      <w:proofErr w:type="spellStart"/>
      <w:r w:rsidRPr="00135C09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135C09">
        <w:rPr>
          <w:rFonts w:ascii="Times New Roman" w:hAnsi="Times New Roman" w:cs="Times New Roman"/>
          <w:sz w:val="24"/>
          <w:szCs w:val="24"/>
        </w:rPr>
        <w:t xml:space="preserve"> пособие / И. Ю. Алексашина, О. А. </w:t>
      </w:r>
      <w:proofErr w:type="spellStart"/>
      <w:r w:rsidRPr="00135C09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135C09">
        <w:rPr>
          <w:rFonts w:ascii="Times New Roman" w:hAnsi="Times New Roman" w:cs="Times New Roman"/>
          <w:sz w:val="24"/>
          <w:szCs w:val="24"/>
        </w:rPr>
        <w:t>, Ю. П. Киселев; науч. ред. И. Ю. Алексашина. — СПб. : КАРО, 2019. — 160 с. — (Петербургский вектор введения ФГОС ООО).</w:t>
      </w:r>
    </w:p>
    <w:p w:rsidR="00135C09" w:rsidRPr="00135C09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 xml:space="preserve"> 2. Е. </w:t>
      </w:r>
      <w:proofErr w:type="spellStart"/>
      <w:r w:rsidRPr="00135C09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135C09">
        <w:rPr>
          <w:rFonts w:ascii="Times New Roman" w:hAnsi="Times New Roman" w:cs="Times New Roman"/>
          <w:sz w:val="24"/>
          <w:szCs w:val="24"/>
        </w:rPr>
        <w:t xml:space="preserve"> (начальник отдела МЦКО): «Функциональная грамотность школьников – важный показатель качества образования» </w:t>
      </w:r>
      <w:hyperlink r:id="rId6" w:history="1">
        <w:r w:rsidRPr="00135C09">
          <w:rPr>
            <w:rStyle w:val="a5"/>
            <w:rFonts w:ascii="Times New Roman" w:hAnsi="Times New Roman" w:cs="Times New Roman"/>
            <w:sz w:val="24"/>
            <w:szCs w:val="24"/>
          </w:rPr>
          <w:t>https://mcko.ru/articles/2264</w:t>
        </w:r>
      </w:hyperlink>
      <w:r w:rsidRPr="0013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09" w:rsidRPr="00135C09" w:rsidRDefault="00135C09" w:rsidP="00135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C09">
        <w:rPr>
          <w:rFonts w:ascii="Times New Roman" w:hAnsi="Times New Roman" w:cs="Times New Roman"/>
          <w:sz w:val="24"/>
          <w:szCs w:val="24"/>
        </w:rPr>
        <w:t>3. Результаты всероссийского исследования программы «Я Учитель» https://yandex.ru/promo/education/articles/kompetencii-uchitelej-issledovanieyandeksa</w:t>
      </w:r>
    </w:p>
    <w:sectPr w:rsidR="00135C09" w:rsidRPr="00135C09" w:rsidSect="00804D3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AF8"/>
    <w:multiLevelType w:val="hybridMultilevel"/>
    <w:tmpl w:val="A7668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64524"/>
    <w:multiLevelType w:val="hybridMultilevel"/>
    <w:tmpl w:val="6BFE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D61"/>
    <w:multiLevelType w:val="hybridMultilevel"/>
    <w:tmpl w:val="9A44A3F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 w15:restartNumberingAfterBreak="0">
    <w:nsid w:val="24A809F4"/>
    <w:multiLevelType w:val="hybridMultilevel"/>
    <w:tmpl w:val="22F8E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44EF8BA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DE3AAA"/>
    <w:multiLevelType w:val="hybridMultilevel"/>
    <w:tmpl w:val="AF8401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8A7151"/>
    <w:multiLevelType w:val="hybridMultilevel"/>
    <w:tmpl w:val="0EFA1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96EE9"/>
    <w:multiLevelType w:val="hybridMultilevel"/>
    <w:tmpl w:val="4106F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D"/>
    <w:rsid w:val="00135C09"/>
    <w:rsid w:val="002F7DDD"/>
    <w:rsid w:val="00804D31"/>
    <w:rsid w:val="00D55C78"/>
    <w:rsid w:val="00E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5DFE"/>
  <w15:chartTrackingRefBased/>
  <w15:docId w15:val="{880EC9D7-464B-40EA-AA19-2846C47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DDD"/>
    <w:pPr>
      <w:ind w:left="720"/>
      <w:contextualSpacing/>
    </w:pPr>
  </w:style>
  <w:style w:type="paragraph" w:customStyle="1" w:styleId="Default">
    <w:name w:val="Default"/>
    <w:rsid w:val="00804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3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ko.ru/articles/22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Голованова</dc:creator>
  <cp:keywords/>
  <dc:description/>
  <cp:lastModifiedBy>Юлия Голованова</cp:lastModifiedBy>
  <cp:revision>1</cp:revision>
  <dcterms:created xsi:type="dcterms:W3CDTF">2023-11-01T16:16:00Z</dcterms:created>
  <dcterms:modified xsi:type="dcterms:W3CDTF">2023-11-01T16:54:00Z</dcterms:modified>
</cp:coreProperties>
</file>