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Сказка является древним фольклорным жанром, который в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метафорической форме содержит представления народа об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окружающем мире. В народной педагогике данный жанр используется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как средстве передачи культурного и социального опыта поколений.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Дети в занимательной и доступной форме получают из сказки знания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 системе человеческих взаимоотношений, устройстве мира,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нравственные ориентации, предметном мире, природе.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Народные сказки традиционно делятся на три большие группы –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это волшебные сказки, бытовые и сказки о животных. Как правило,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элементы математики представлены во всех типах сказок. В народных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сказках обычно фигурируют цифры и числа, которые имеют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сакральный смысл для культуры народа -  три, тридцать три, семь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т.д. Например, в сказках часто фигурируют три сестры, три сына,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семеро козлят. Также в сказках часто встречаются те или иные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упоминания о времени суток – день, ночь, утро, вечер, времен года,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расстояний, в том числе, в метафорической форме, частей целого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(половина царства и т.д.).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Также существуют авторские дидактические сказки, имеющие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математическое содержание, это авторские произведения для детей,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которые написаны специально для математического развития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дошкольников. Эти сказки сохраняют сказочный стиль повествования,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композицию сказки – зачин, концовку, часто основные типы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сюжетных событий, например, испытание героя, однако вместо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традиционных персонажей, например, могут выступать цифры. Также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 этих сказках обычно усилена занимательность, выражен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приключенческий сюжет, который позволяет, во-первых, поддерживать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интерес ребенка к содержанию сказки, во-вторых, реализовывать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различные задания, а также раскрывать математические понятия.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Математические авторские сказки представлены в дидактических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пособиях Е.А. Шоригиной, Н.Я. Большуновой, Т.И. Ерофеевой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других. В. Ф. Любичева и Р. Р. Мухамедьянова выдели особенности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структуры этих сказок: обычно они начинаются с  введения в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сказочную страну, в которой живут сказочные математические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объекты; далее разрушение благополучия, то есть нарушение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отношений, связей между сказочными математическими объектами;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восстановление этих отношений, связей.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 дидактическом пособии Н.Я. Большуновой представлены как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авторские сказки, так и авторские модификации народных сказок,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представлены сказки разных народов мира. Таким образом, автор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показывает возможный потенциал использования народной сказки в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математическом развитии. При этом автор подчеркивает, что просто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использования сказки на занятиях по ФЭМП как занимательного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элемента недостаточно. Сказка, народная или авторская, должна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включать те или иные математические категории: представления 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форме, величине, длине, высоте, времени, пространстве, а также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отношениях между числами.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Автор предостерегает также от отношения к сказке как к чисто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дидактическому инструменту. На занятиях для ребенка она должна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быть полноценным художественным произведением, которое развивает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все стороны личности. Сказка должна соответствовать возрастным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особенностям и потребностям детей, если в младшем и среднем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дошкольном возрасте наиболее интересны сказки о животных 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волшебные, то старшие дошкольники с интересом воспринимают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бытовые сказки, а также легенды, былины, сказки-фантазии.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Учебное содержание может быть включено в работу со сказкой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несколькими способами, например, это поставка проблемного вопроса,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разрешение проблемной задачи, формулировка гипотез, детское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экспериментирование.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Например, сказке «Звери-путешественники» детям предлагается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ответить на вопрос, почему высокая и узкая машинка не может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проехать в широкий и низкий тоннель. Дети могут сами попробовать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проехать на такой машинке через туннель из кубиков и вынести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соотношение высоты и ширины предметов.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Также в сказку могут быть включены различные испытания-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задачи, которые предусмотрены самим жанром, так как во многих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канонических сказках герои проходят испытания и разрешают те или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иные задачи или загадки. Дети могут проходить такие испытания,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«помогая» героям.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Одна из главных  проблем математического развития в старшем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дошкольном возрасте  - освоение позиционной системы счисления.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Поэтому, формируя у дошкольников  представления о системах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исчисления, нужно  решить прелставленные задачи: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«1. Развитие способности к группировке или счету группами.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2. Понимание того, что обозначения чисел за пределами десятка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связаны с тем, что в основе счета лежит счет десятками,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следовательно, все имена чисел и их запись производны от десятка.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3. Дать детям возможность понять, что от места, где находится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цифра в ряду других цифр зависит значение числа. </w:t>
      </w:r>
    </w:p>
    <w:p>
      <w:pPr>
        <w:jc w:val="both"/>
        <w:spacing w:lineRule="auto" w:line="360" w:after="0"/>
        <w:ind w:firstLine="709"/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4. Показать значение числа 0». </w:t>
      </w:r>
    </w:p>
    <w:p>
      <w:pPr>
        <w:spacing w:lineRule="auto" w:line="259"/>
        <w:rPr>
          <w:shd w:val="clear"/>
        </w:rPr>
      </w:pPr>
    </w:p>
    <w:p>
      <w:pPr>
        <w:spacing w:lineRule="auto" w:line="259"/>
        <w:rPr>
          <w:shd w:val="clear"/>
        </w:rPr>
      </w:pPr>
    </w:p>
    <w:p>
      <w:pPr>
        <w:spacing w:lineRule="auto" w:line="259"/>
        <w:rPr>
          <w:shd w:val="clear"/>
        </w:rPr>
      </w:pPr>
    </w:p>
    <w:p>
      <w:pPr>
        <w:spacing w:lineRule="auto" w:line="259"/>
        <w:rPr>
          <w:shd w:val="clear"/>
        </w:rPr>
      </w:pPr>
    </w:p>
    <w:p>
      <w:pPr>
        <w:spacing w:lineRule="auto" w:line="259"/>
        <w:rPr>
          <w:shd w:val="clear"/>
        </w:rPr>
      </w:pPr>
    </w:p>
    <w:p>
      <w:pPr>
        <w:spacing w:lineRule="auto" w:line="259"/>
        <w:rPr>
          <w:shd w:val="clear"/>
        </w:rPr>
      </w:pPr>
    </w:p>
    <w:p>
      <w:pPr>
        <w:jc w:val="center"/>
        <w:spacing w:lineRule="auto" w:line="259"/>
        <w:rPr>
          <w:sz w:val="28"/>
          <w:szCs w:val="28"/>
          <w:shd w:val="clear"/>
        </w:rPr>
      </w:pPr>
      <w:r>
        <w:rPr>
          <w:sz w:val="28"/>
          <w:szCs w:val="28"/>
          <w:shd w:val="clear"/>
        </w:rPr>
        <w:t xml:space="preserve">Список литературы </w:t>
      </w:r>
    </w:p>
    <w:p>
      <w:pPr>
        <w:pStyle w:val="PO26"/>
        <w:numPr>
          <w:numId w:val="1"/>
          <w:ilvl w:val="0"/>
        </w:numPr>
        <w:jc w:val="both"/>
        <w:spacing w:lineRule="auto" w:line="360" w:after="0"/>
        <w:contextualSpacing w:val="1"/>
        <w:ind w:left="0" w:firstLine="709"/>
        <w:tabs>
          <w:tab w:val="left" w:pos="284"/>
          <w:tab w:val="left" w:pos="426"/>
        </w:tabs>
        <w:rPr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Алябьева Е.А. Математические сказки : беседы с детьми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о числах, счете и форме / Е.А. Алябьева. – М. : Сфера, cop. 2018. –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106 с</w:t>
      </w:r>
    </w:p>
    <w:p>
      <w:pPr>
        <w:pStyle w:val="PO26"/>
        <w:numPr>
          <w:numId w:val="1"/>
          <w:ilvl w:val="0"/>
        </w:numPr>
        <w:jc w:val="both"/>
        <w:spacing w:lineRule="auto" w:line="360" w:after="0"/>
        <w:contextualSpacing w:val="1"/>
        <w:ind w:left="0" w:firstLine="709"/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Байбородова Л. В. Трансформация дидактических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принципов в условиях цифровизации образования // Педагогика. 2020.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№ 7. С. 22-30. Бондарчук О. А. Особенности формирования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мировоззрения дошкольника под влиянием информационных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технологий // Научный альманах. 2019. № 5-3 (55). С. 136-138.</w:t>
      </w:r>
    </w:p>
    <w:p>
      <w:pPr>
        <w:pStyle w:val="PO26"/>
        <w:numPr>
          <w:numId w:val="1"/>
          <w:ilvl w:val="0"/>
        </w:numPr>
        <w:jc w:val="both"/>
        <w:spacing w:lineRule="auto" w:line="360" w:after="0"/>
        <w:contextualSpacing w:val="1"/>
        <w:ind w:left="0" w:firstLine="709"/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 xml:space="preserve">Балачак аланы: балалар бакчасы тәрбиячеләре һәм әти-</w:t>
      </w: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 xml:space="preserve">әниләр өчен хрестоматия. – Казан: РИЦ, 2011. – 560 б.</w:t>
      </w:r>
    </w:p>
    <w:p>
      <w:pPr>
        <w:pStyle w:val="PO26"/>
        <w:numPr>
          <w:numId w:val="1"/>
          <w:ilvl w:val="0"/>
        </w:numPr>
        <w:jc w:val="both"/>
        <w:spacing w:lineRule="auto" w:line="360" w:after="0"/>
        <w:contextualSpacing w:val="1"/>
        <w:ind w:left="0" w:firstLine="709"/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 xml:space="preserve">Белошистая, А.В. Дошкольный возраст: формирование и </w:t>
      </w: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 xml:space="preserve">развитие математических способностей  / А.В. Белошистая // </w:t>
      </w: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 xml:space="preserve">Дошкольное воспитание, 2010. – №2. – С. 69-79.</w:t>
      </w:r>
    </w:p>
    <w:p>
      <w:pPr>
        <w:pStyle w:val="PO26"/>
        <w:numPr>
          <w:numId w:val="1"/>
          <w:ilvl w:val="0"/>
        </w:numPr>
        <w:jc w:val="both"/>
        <w:spacing w:lineRule="auto" w:line="360" w:after="0"/>
        <w:contextualSpacing w:val="1"/>
        <w:ind w:left="0" w:firstLine="709"/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</w:pPr>
      <w:r>
        <w:rPr>
          <w:sz w:val="28"/>
          <w:szCs w:val="28"/>
          <w:shd w:val="clear" w:color="000000" w:fill="FFFFFF"/>
          <w:rFonts w:ascii="Times New Roman" w:eastAsia="Times New Roman" w:hAnsi="Times New Roman" w:cs="Times New Roman"/>
        </w:rPr>
        <w:t>Белошистая, А.В. 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>Психологическое обоснование системы мат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ематического развития дошкольников и принципы отбора содержания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этого обучения  / А.В. Белошистая // Психология обучения. – 2018. </w:t>
      </w:r>
      <w:r>
        <w:rPr>
          <w:sz w:val="28"/>
          <w:szCs w:val="28"/>
          <w:shd w:val="clear"/>
          <w:rFonts w:ascii="Times New Roman" w:eastAsia="Times New Roman" w:hAnsi="Times New Roman" w:cs="Times New Roman"/>
        </w:rPr>
        <w:t xml:space="preserve">– №5. – С.17-32.</w:t>
      </w:r>
    </w:p>
    <w:p>
      <w:pPr>
        <w:jc w:val="center"/>
        <w:spacing w:lineRule="auto" w:line="259"/>
        <w:rPr>
          <w:color w:val="auto"/>
          <w:sz w:val="28"/>
          <w:szCs w:val="28"/>
          <w:shd w:val="clear"/>
          <w:rFonts w:ascii="Times New Roman" w:eastAsia="Times New Roman" w:hAnsi="Times New Roman" w:cs="Times New Roman"/>
        </w:rPr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86A1F6C"/>
    <w:lvl w:ilvl="0">
      <w:lvlJc w:val="left"/>
      <w:numFmt w:val="decimal"/>
      <w:start w:val="1"/>
      <w:suff w:val="tab"/>
      <w:pPr>
        <w:ind w:left="1429" w:hanging="360"/>
        <w:rPr/>
      </w:pPr>
      <w:rPr>
        <w:shd w:val="clear"/>
      </w:rPr>
      <w:lvlText w:val="%1."/>
    </w:lvl>
    <w:lvl w:ilvl="1">
      <w:lvlJc w:val="left"/>
      <w:numFmt w:val="lowerLetter"/>
      <w:start w:val="1"/>
      <w:suff w:val="tab"/>
      <w:pPr>
        <w:ind w:left="2149" w:hanging="360"/>
        <w:rPr/>
      </w:pPr>
      <w:rPr>
        <w:shd w:val="clear"/>
      </w:rPr>
      <w:lvlText w:val="%2."/>
    </w:lvl>
    <w:lvl w:ilvl="2">
      <w:lvlJc w:val="right"/>
      <w:numFmt w:val="lowerRoman"/>
      <w:start w:val="1"/>
      <w:suff w:val="tab"/>
      <w:pPr>
        <w:ind w:left="2869" w:hanging="180"/>
        <w:rPr/>
      </w:pPr>
      <w:rPr>
        <w:shd w:val="clear"/>
      </w:rPr>
      <w:lvlText w:val="%3."/>
    </w:lvl>
    <w:lvl w:ilvl="3">
      <w:lvlJc w:val="left"/>
      <w:numFmt w:val="decimal"/>
      <w:start w:val="1"/>
      <w:suff w:val="tab"/>
      <w:pPr>
        <w:ind w:left="3589" w:hanging="360"/>
        <w:rPr/>
      </w:pPr>
      <w:rPr>
        <w:shd w:val="clear"/>
      </w:rPr>
      <w:lvlText w:val="%4."/>
    </w:lvl>
    <w:lvl w:ilvl="4">
      <w:lvlJc w:val="left"/>
      <w:numFmt w:val="lowerLetter"/>
      <w:start w:val="1"/>
      <w:suff w:val="tab"/>
      <w:pPr>
        <w:ind w:left="4309" w:hanging="360"/>
        <w:rPr/>
      </w:pPr>
      <w:rPr>
        <w:shd w:val="clear"/>
      </w:rPr>
      <w:lvlText w:val="%5."/>
    </w:lvl>
    <w:lvl w:ilvl="5">
      <w:lvlJc w:val="right"/>
      <w:numFmt w:val="lowerRoman"/>
      <w:start w:val="1"/>
      <w:suff w:val="tab"/>
      <w:pPr>
        <w:ind w:left="5029" w:hanging="180"/>
        <w:rPr/>
      </w:pPr>
      <w:rPr>
        <w:shd w:val="clear"/>
      </w:rPr>
      <w:lvlText w:val="%6."/>
    </w:lvl>
    <w:lvl w:ilvl="6">
      <w:lvlJc w:val="left"/>
      <w:numFmt w:val="decimal"/>
      <w:start w:val="1"/>
      <w:suff w:val="tab"/>
      <w:pPr>
        <w:ind w:left="5749" w:hanging="360"/>
        <w:rPr/>
      </w:pPr>
      <w:rPr>
        <w:shd w:val="clear"/>
      </w:rPr>
      <w:lvlText w:val="%7."/>
    </w:lvl>
    <w:lvl w:ilvl="7">
      <w:lvlJc w:val="left"/>
      <w:numFmt w:val="lowerLetter"/>
      <w:start w:val="1"/>
      <w:suff w:val="tab"/>
      <w:pPr>
        <w:ind w:left="6469" w:hanging="360"/>
        <w:rPr/>
      </w:pPr>
      <w:rPr>
        <w:shd w:val="clear"/>
      </w:rPr>
      <w:lvlText w:val="%8."/>
    </w:lvl>
    <w:lvl w:ilvl="8">
      <w:lvlJc w:val="right"/>
      <w:numFmt w:val="lowerRoman"/>
      <w:start w:val="1"/>
      <w:suff w:val="tab"/>
      <w:pPr>
        <w:ind w:left="7189" w:hanging="180"/>
        <w:rPr/>
      </w:pPr>
      <w:rPr>
        <w:shd w:val="clear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  <w:shd w:val="clear"/>
      </w:rPr>
    </w:rPrDefault>
  </w:docDefaults>
  <w:style w:default="1" w:styleId="PO1" w:type="paragraph">
    <w:name w:val="Normal"/>
    <w:next w:val="PO1"/>
    <w:qFormat/>
    <w:uiPriority w:val="-1"/>
    <w:pPr>
      <w:jc w:val="both"/>
      <w:spacing w:lineRule="auto" w:line="259"/>
      <w:rPr/>
      <w:widowControl w:val="0"/>
      <w:autoSpaceDE w:val="0"/>
      <w:autoSpaceDN w:val="0"/>
    </w:pPr>
    <w:rPr>
      <w:sz w:val="22"/>
      <w:szCs w:val="22"/>
      <w:shd w:val="clear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-1"/>
    <w:semiHidden/>
    <w:unhideWhenUsed/>
    <w:rPr>
      <w:color w:val="auto"/>
      <w:sz w:val="22"/>
      <w:szCs w:val="22"/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725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Арина Хайруллова</dc:creator>
  <cp:lastModifiedBy>Арина Хайруллова</cp:lastModifiedBy>
</cp:coreProperties>
</file>