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framePr w:w="0" w:h="0" w:vAnchor="margin" w:hAnchor="text" w:x="0" w:y="0"/>
        <w:keepNext w:val="off"/>
        <w:keepLines w:val="off"/>
        <w:pageBreakBefore w:val="off"/>
        <w:widowControl w:val="on"/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  <w:bar w:val="nil" w:sz="4" w:space="0"/>
        </w:pBdr>
        <w:shd w:val="nil" w:color="auto" w:fill="auto"/>
        <w:bidi w:val="off"/>
        <w:spacing w:before="0" w:line="216" w:lineRule="auto"/>
        <w:ind w:left="720" w:right="0" w:firstLine="720"/>
        <w:contextualSpacing w:val="off"/>
        <w:jc w:val="left"/>
        <w:rPr>
          <w:rFonts w:asciiTheme="majorAscii" w:cstheme="majorBidi" w:eastAsiaTheme="majorEastAsia" w:hint="default"/>
          <w:b/>
          <w:bCs w:val="off"/>
          <w:i w:val="off"/>
          <w:iCs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523399"/>
          <w:spacing w:val="0"/>
          <w:w w:val="100"/>
          <w:position w:val="0"/>
          <w:sz w:val="28"/>
          <w:szCs w:val="28"/>
          <w:highlight w:val="none"/>
          <w:u w:val="none"/>
          <w:bdr w:val="nil" w:sz="4" w:space="0"/>
          <w:shd w:val="nil" w:color="auto" w:fill="auto"/>
          <w:vertAlign w:val="baseline"/>
          <w:rtl w:val="off"/>
          <w:cs w:val="off"/>
          <w:lang w:val="bg-BG"/>
        </w:rPr>
      </w:pPr>
      <w:r>
        <w:rPr>
          <w:rFonts w:asciiTheme="majorAscii" w:cstheme="majorBidi" w:eastAsiaTheme="majorEastAsia" w:hint="default"/>
          <w:b/>
          <w:bCs w:val="off"/>
          <w:i w:val="off"/>
          <w:iCs w:val="off"/>
          <w:caps w:val="off"/>
          <w:smallCaps w:val="off"/>
          <w:outline w:val="off"/>
          <w:shadow w:val="off"/>
          <w:emboss w:val="off"/>
          <w:imprint w:val="off"/>
          <w:vanish w:val="off"/>
          <w:color w:val="523399"/>
          <w:spacing w:val="0"/>
          <w:w w:val="100"/>
          <w:position w:val="0"/>
          <w:sz w:val="28"/>
          <w:szCs w:val="28"/>
          <w:highlight w:val="none"/>
          <w:u w:val="none"/>
          <w:bdr w:val="nil" w:sz="4" w:space="0"/>
          <w:shd w:val="nil" w:color="auto" w:fill="auto"/>
          <w:vertAlign w:val="baseline"/>
          <w:rtl w:val="off"/>
          <w:cs w:val="off"/>
          <w:lang w:val="ru-RU"/>
        </w:rPr>
        <w:t xml:space="preserve">Развитие сюжетно-ролевой игры у слабовидящих детей 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Своеобразие игровой деятельности слабовидящих и незрячих детей обусловлено дефицитарностью сенсорных анализаторов, отсутствия возможности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системного и  полноценного восприятия всеми чувственными анализаторами. Первичные ограничения в структуре </w:t>
      </w:r>
      <w:r>
        <w:rPr>
          <w:rFonts w:ascii="Times New Roman" w:cs="Times New Roman" w:hAnsi="Times New Roman"/>
          <w:sz w:val="28"/>
          <w:szCs w:val="28"/>
          <w:lang w:val="ru-RU"/>
        </w:rPr>
        <w:t>дефекта по Л.С.Выготскому диктуют особенности игровой деятельности:</w:t>
      </w:r>
    </w:p>
    <w:p>
      <w:pPr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Значительная ретардация в развитии этапов игровой деятельности: </w:t>
      </w:r>
      <w:r>
        <w:rPr>
          <w:rFonts w:ascii="Times New Roman" w:cs="Times New Roman" w:hAnsi="Times New Roman"/>
          <w:sz w:val="28"/>
          <w:szCs w:val="28"/>
          <w:lang w:val="ru-RU"/>
        </w:rPr>
        <w:t>у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детей с нормотипичным развитием к пяти годам формируется интерес к ролевой игре, выстраивается сюжетная линия, в то время как слабо</w:t>
      </w:r>
      <w:r>
        <w:rPr>
          <w:rFonts w:ascii="Times New Roman" w:cs="Times New Roman" w:hAnsi="Times New Roman"/>
          <w:sz w:val="28"/>
          <w:szCs w:val="28"/>
          <w:lang w:val="ru-RU"/>
        </w:rPr>
        <w:t>видящий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ребенок продолжает использовать манипулятивные  и процессуальные действия предметами, принятие роли существенно опаздывает по времени появления в игре таких детей. Согласно учения Л.С.Выготского развитие детей с нарушениями проходит те же этапы, что и нормотипичное развитие, только в своем темпе с учетом своеобразия первичного дефекта.</w:t>
      </w:r>
    </w:p>
    <w:p>
      <w:pPr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Предпочтение музыкальных, озвученных игрушек формируется с раннего возраста и сопровождается в последствии. Дети, лишенные полноценного зрительного восприятия, с удовольствием ориентируются на осязание и звучание предметов, что определяет специфику выбора игрового материала (погремушки, музыкальные игры, тактильные карточки, книги).</w:t>
      </w:r>
    </w:p>
    <w:p>
      <w:pPr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В действиях с предметами присутствует определенная дефицитарность, неловкость и неприспособленность, предметы часто используются не по назначению, а с целью получения звуковых и тактильных ощущений. </w:t>
      </w:r>
    </w:p>
    <w:p>
      <w:pPr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От степени повреждения зрительного анализатора зависит дальнейшее развитие игровой деятельности ребенка и обогащение его восприятия внешнего мира и наполнения представлениями об окружающем мире, предметах, их назначении и способов взаимодействия с ними. Так,у рано ослепших детей и незрячих от рождения, опыт познаний существенно мал, что затрудняет процесс накопления сенсорных представлений и развития любого вида деятельности, значительно снижает кругозор и осведомленность.</w:t>
      </w:r>
    </w:p>
    <w:p>
      <w:pPr>
        <w:numPr>
          <w:ilvl w:val="0"/>
          <w:numId w:val="1"/>
        </w:numPr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Эмоциональная нестабильность, часто скрытность, закрытость, повышенная тревожность и страх неизвестного, сложности в коммуникации, низкая инициативность в контакте и игре, </w:t>
      </w:r>
      <w:r>
        <w:rPr>
          <w:rFonts w:ascii="Times New Roman" w:cs="Times New Roman" w:hAnsi="Times New Roman"/>
          <w:sz w:val="28"/>
          <w:szCs w:val="28"/>
          <w:lang w:val="ru-RU"/>
        </w:rPr>
        <w:t>нарушения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в моторном развитии и пространственной ориентации значительно тормозят развитие игровой деятельности слабовидящих детей.</w:t>
      </w:r>
    </w:p>
    <w:p>
      <w:pPr>
        <w:ind w:righ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С учетом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данных характерных особенностей игровой деятельности слабовидящих детей и с опорой на сохранные функции целесообразно выстраивать коррекционную работу по развитию сюжетно-ролевой игры. </w:t>
      </w:r>
    </w:p>
    <w:p>
      <w:pPr>
        <w:ind w:righ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Важно отметить необходимость более длительного периода по освоению каждого этапа становления игрового процесса, так как простые манипулятивные действия присутствуют в игре таких детей намного дольше, применение по назначению предметов также затруднено по причине малого опыта и отсутствия знаний и представлений. Научение предметно-практической деятельности тоже затруднено сниженной способностью к копированию и воспроизведению действий, часто у таких детей происходит замещение действия озвучиванием, (так ребенок, может заменить действие ножницами словами “чик-чик, я стригу”).  Поэтому первым этапом к игре - можно выделить наполнение представлений о предметах, их назначении и способах взаимодействия с ними, развитие исследовательских и практических действий.</w:t>
      </w:r>
    </w:p>
    <w:p>
      <w:pPr>
        <w:ind w:righ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Накопление и пополнение знаний и представлений об окружающем мире, речевое развитие, чтение сказок, обсуждение игр, беседы, обмен ощущениями и эмоциями от игры, мотивация фантазировать и играть в воображение - как методы развития игры. Создание особой позитивной атмосферы, приобщение детского коллектива к совместной игре, организация игры педагогом. </w:t>
      </w:r>
    </w:p>
    <w:p>
      <w:pPr>
        <w:ind w:righ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Освоение предметов-заместителей, приобщение ролей к игре, назначение ролей, игра в ассоциации (на что похоже, что напоминает, встречал ли ты раньше этот предмет, что можно с ним сделать?), воспроизведение сюжетов сказов, рассказов, проигранных ранее игр.</w:t>
      </w:r>
    </w:p>
    <w:p>
      <w:pPr>
        <w:ind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Игра - это деятельность, в которой моделируются социальные отношения и развивается сюжетная линия, имеющая замысел, развитие и результат или , как писал Л.С.Выготский, “игра -есть </w:t>
      </w:r>
      <w:r>
        <w:rPr>
          <w:rFonts w:ascii="Times New Roman" w:cs="Times New Roman" w:hAnsi="Times New Roman"/>
          <w:sz w:val="28"/>
          <w:szCs w:val="28"/>
          <w:lang w:val="ru-RU"/>
        </w:rPr>
        <w:t>арифметика социальных отношений”, что предполагает наличие ролей.</w:t>
      </w:r>
    </w:p>
    <w:p>
      <w:pPr>
        <w:ind w:righ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Развитие исследовательских действий посредством тактильного обследования, развития навыков сравнения и сопоставления с сенсорными эталонами, накопление сенсорно-перцептивного опыта - одна из задач в развитии игровых действий. Расширение предметных представлений, назначений действий с ними позволит перейти к более сложным игровым действиям, связанным с образами предметов и ролями.</w:t>
      </w:r>
    </w:p>
    <w:p>
      <w:pPr>
        <w:ind w:righ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Развитие мелкой и крупной моторики является необходимым этапом в становлении игровой деятельности, по причине низкой координации движений, потребности точного тактильного восприятия для дифференцирования предметов и пространственного определения себя и объектов вокруг. </w:t>
      </w:r>
    </w:p>
    <w:p>
      <w:pPr>
        <w:ind w:righ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Развитие творческой деятельности, как словесной (сказкотерапия, игры в ассоциации, беседы, групповые словесные игры), так и практической, особенно с пластичными материалами (глина, пластилин, тесто). </w:t>
      </w:r>
    </w:p>
    <w:p>
      <w:pPr>
        <w:ind w:righ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Только на пятом- шестом году формируется предметно-игровые и ролевые действия у детей со слабым зрением. При этом игровые и ролевые действия значительно </w:t>
      </w:r>
      <w:r>
        <w:rPr>
          <w:rFonts w:ascii="Times New Roman" w:cs="Times New Roman" w:hAnsi="Times New Roman"/>
          <w:sz w:val="28"/>
          <w:szCs w:val="28"/>
          <w:lang w:val="ru-RU"/>
        </w:rPr>
        <w:t>примитивны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и ограничены по своему содержанию. </w:t>
      </w:r>
    </w:p>
    <w:p>
      <w:pPr>
        <w:ind w:righ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Характерная однообразность, не умение развернуть сюжет, малая коммуникативная активность, дети не организуются в группы более 2-3 человек, требуют организующей и направляющей деятельности педагога. Низкий уровень заинтересованности  и мотивации в игре. </w:t>
      </w:r>
    </w:p>
    <w:p>
      <w:pPr>
        <w:ind w:righ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Особую роль в развитии игры относят к подбору игрового материала: игрушка должна вызывать заинтересованность, приятные ощущения, быть простой и функциональной, отображать предметы и явления окружающего мира. Чем больше действий можно выполнить с этой игрушкой, чем проще в узнавании она будет, тем более стойким будет интерес к ней и многообразнее ее применении, а значит быстрее сформируется предметно-заместительная деятельность, творчество, фантазия и воображение. </w:t>
      </w:r>
    </w:p>
    <w:p>
      <w:pPr>
        <w:ind w:righ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Следующий этап обучения это привнесение сюжета и ролей в игру. Для этого педагог на первоначальном этапе должен занимать роль ведущего и использовать уже полюбившиеся игрушки, как заместители, предлагать и инициировать неожиданный ход событий, вовлекать в диалоги и в речевые сюжетные цепочки, помогать воплощать фантазии в практические действия. Использовать сначала выстраивание сюжета в речи и потом переносить его в практическую реализацию в игре, то есть проигрывать ранее придуманный и озвученный сюжет. Педагог выступает организатором игры и действует от поведения играющих, направляя и развивая сюжет, активизируя малоактивных, предлагая им роли, подсказывая, стимулируя, мотивируя, подбадривая, предлагая игровые ситуации и вовлекая всех в игру, тем самым обучая и расширяя игровую деятельность. </w:t>
      </w:r>
    </w:p>
    <w:p>
      <w:pPr>
        <w:ind w:right="0" w:firstLine="720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Игры по сюжету сказки или рассказа часто используют,  как инструмент развития сюжетно-ролевой активности у слабовидящих детей. Детей постепенно знакомят с предметами необходимыми для поставки сказки, пробуждают интерес к участию, раздают роли, согласно пожеланиям или схожести по характеру. В последствии данная игра может перейти в театрализованное представление сказки с использованием кукольного инвентаря. Так, может быть разыграна сказка Репка, Теремок, Курочка-ряба и другие.</w:t>
      </w:r>
    </w:p>
    <w:p>
      <w:pPr>
        <w:ind w:righ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Заучивание сказок, рифмовок, считалочек, стихотворных строк, в младшем дошкольном возрасте и обсуждение пословиц и поговорок в более старшем дошкольном и школьном возрасте развивает образное мышление и сюжетно-ролевую игру. </w:t>
      </w:r>
    </w:p>
    <w:p>
      <w:pPr>
        <w:ind w:righ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Активное использование словесного объяснения действий, номинирование игровых и процессуальных действий (тук-тук - молоток, чик-трак - ключ, ту-ту- паровоз) обогащает образы предметов и явлений, слияние действия со словом позволяет </w:t>
      </w:r>
      <w:r>
        <w:rPr>
          <w:rFonts w:ascii="Times New Roman" w:cs="Times New Roman" w:hAnsi="Times New Roman"/>
          <w:sz w:val="28"/>
          <w:szCs w:val="28"/>
          <w:lang w:val="ru-RU"/>
        </w:rPr>
        <w:t>разно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образить и усложнять игру. </w:t>
      </w:r>
    </w:p>
    <w:p>
      <w:pPr>
        <w:ind w:righ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Музыкальные занятия, знакомство с фольклором, народными танцами, хороводами, заучивание песен и танцев, организация праздничных и театрализованных мероприятий, разыгрывание сценок по ролям. </w:t>
      </w:r>
    </w:p>
    <w:p>
      <w:pPr>
        <w:ind w:righ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Сеансы релаксации под музыкальное сопровождение, игры в сенсорной комнате, погружение в сухой бассейн, игра с сухим дождем, тактильные дорожки и книги, обсуждение ощущений и эмоций, выстраивание историй, сюжетных линий с выдуманными героями. </w:t>
      </w:r>
    </w:p>
    <w:p>
      <w:pPr>
        <w:ind w:right="0" w:firstLine="720"/>
        <w:jc w:val="both"/>
        <w:rPr>
          <w:rFonts w:ascii="Times New Roman" w:cs="Times New Roman" w:hAnsi="Times New Roman"/>
          <w:sz w:val="28"/>
          <w:szCs w:val="28"/>
        </w:rPr>
      </w:pPr>
    </w:p>
    <w:sectPr>
      <w:footnotePr/>
      <w:footnotePr/>
      <w:type w:val="nextPage"/>
      <w:pgSz w:w="11906" w:h="16838" w:orient="portrait"/>
      <w:pgMar w:top="720" w:right="696" w:bottom="720" w:left="912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arial">
    <w:charset w:val="00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1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</cp:coreProperties>
</file>