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AA" w:rsidRPr="00E0437F" w:rsidRDefault="00FB15AA" w:rsidP="00FB15A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043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БИНАРНОЕ ЗАНЯТИЕ КАК СРЕДСТВО ФОРМИРОВАНИЯ ОБЩИХ И ПРОФЕССИОНАЛЬНЫХ КОМПЕТЕНЦИЙ.</w:t>
      </w:r>
    </w:p>
    <w:p w:rsidR="00FB15AA" w:rsidRPr="00E0437F" w:rsidRDefault="00FB15AA" w:rsidP="00FB15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E0437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Никитина Т.А. </w:t>
      </w:r>
    </w:p>
    <w:p w:rsidR="00FB15AA" w:rsidRPr="00E0437F" w:rsidRDefault="00FB15AA" w:rsidP="00FB15A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043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Санкт-Петербургский медицинский колледж – структурное подразделение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I».</w:t>
      </w:r>
    </w:p>
    <w:p w:rsidR="00FB15AA" w:rsidRPr="00E0437F" w:rsidRDefault="00FB15AA" w:rsidP="00FB15A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5AC5" w:rsidRPr="00E0437F" w:rsidRDefault="00F05717" w:rsidP="00804BB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0437F">
        <w:rPr>
          <w:shd w:val="clear" w:color="auto" w:fill="FFFFFF"/>
        </w:rPr>
        <w:t xml:space="preserve">           Иностранный язык является неотъемлемым компонентом профессиональной подготовки современного специалиста медицинского профиля. </w:t>
      </w:r>
      <w:r w:rsidR="00390171" w:rsidRPr="00E0437F">
        <w:rPr>
          <w:color w:val="212529"/>
          <w:shd w:val="clear" w:color="auto" w:fill="F4F4F4"/>
        </w:rPr>
        <w:t>Учебная дисциплина</w:t>
      </w:r>
      <w:r w:rsidR="00C625AB" w:rsidRPr="00E0437F">
        <w:rPr>
          <w:color w:val="212529"/>
          <w:shd w:val="clear" w:color="auto" w:fill="F4F4F4"/>
        </w:rPr>
        <w:t xml:space="preserve"> Иностранный язык входит</w:t>
      </w:r>
      <w:r w:rsidR="0006308C" w:rsidRPr="00E0437F">
        <w:rPr>
          <w:shd w:val="clear" w:color="auto" w:fill="FFFFFF"/>
        </w:rPr>
        <w:t xml:space="preserve"> в базовую часть подготовки и является непрофильной дисциплиной, однако обладает большим потенциалом в отношении обеспечения </w:t>
      </w:r>
      <w:proofErr w:type="spellStart"/>
      <w:r w:rsidR="0006308C" w:rsidRPr="00E0437F">
        <w:rPr>
          <w:shd w:val="clear" w:color="auto" w:fill="FFFFFF"/>
        </w:rPr>
        <w:t>междисциплинарности</w:t>
      </w:r>
      <w:proofErr w:type="spellEnd"/>
      <w:r w:rsidR="0006308C" w:rsidRPr="00E0437F">
        <w:rPr>
          <w:shd w:val="clear" w:color="auto" w:fill="FFFFFF"/>
        </w:rPr>
        <w:t xml:space="preserve"> профессиональной подготовки.</w:t>
      </w:r>
      <w:r w:rsidR="005E0131" w:rsidRPr="00E0437F">
        <w:rPr>
          <w:shd w:val="clear" w:color="auto" w:fill="FFFFFF"/>
        </w:rPr>
        <w:t xml:space="preserve"> Профессиональное ориентирование начинается уже с первого года обучения. </w:t>
      </w:r>
      <w:r w:rsidR="00924A3C" w:rsidRPr="00E0437F">
        <w:rPr>
          <w:shd w:val="clear" w:color="auto" w:fill="FFFFFF"/>
        </w:rPr>
        <w:t xml:space="preserve">Обязательным условием успешного прохождения курса на базовом уровне является освоение содержания основного модуля дисциплины в рамках тематики общих аспектов </w:t>
      </w:r>
      <w:r w:rsidR="005E3668" w:rsidRPr="00E0437F">
        <w:rPr>
          <w:shd w:val="clear" w:color="auto" w:fill="FFFFFF"/>
        </w:rPr>
        <w:t>языка</w:t>
      </w:r>
      <w:r w:rsidR="006858DD" w:rsidRPr="00E0437F">
        <w:rPr>
          <w:shd w:val="clear" w:color="auto" w:fill="FFFFFF"/>
        </w:rPr>
        <w:t xml:space="preserve"> и прикладного модуля, включающего профессионально-ориентированную часть. </w:t>
      </w:r>
      <w:r w:rsidR="00390171" w:rsidRPr="00E0437F">
        <w:rPr>
          <w:shd w:val="clear" w:color="auto" w:fill="FFFFFF"/>
        </w:rPr>
        <w:t>Обучение иностранному языку тесно связано с изучением латинского языка, основ сестринского дела в клинических дисциплинах, однако с данными учебными дисциплинами и профессиональными модулями обучающие знакомятся</w:t>
      </w:r>
      <w:r w:rsidR="003A534A" w:rsidRPr="00E0437F">
        <w:rPr>
          <w:shd w:val="clear" w:color="auto" w:fill="FFFFFF"/>
        </w:rPr>
        <w:t xml:space="preserve"> только на 2 курсе, а для обучающихся первого года обучения целесообразно проводить профессионально-ориентированное обучение через связь с литературой, биологией, географией. </w:t>
      </w:r>
      <w:r w:rsidR="00DA113D" w:rsidRPr="00E0437F">
        <w:rPr>
          <w:shd w:val="clear" w:color="auto" w:fill="FFFFFF"/>
        </w:rPr>
        <w:t xml:space="preserve">Согласно приказа Министерства просвещения Российской Федерации </w:t>
      </w:r>
      <w:r w:rsidR="005E3668" w:rsidRPr="00E0437F">
        <w:rPr>
          <w:shd w:val="clear" w:color="auto" w:fill="FFFFFF"/>
        </w:rPr>
        <w:t>от 04.07.2022 №527 «Об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дело»</w:t>
      </w:r>
      <w:r w:rsidR="00DA113D" w:rsidRPr="00E0437F">
        <w:rPr>
          <w:shd w:val="clear" w:color="auto" w:fill="FFFFFF"/>
        </w:rPr>
        <w:t xml:space="preserve"> в рамках освоения ОК 2. </w:t>
      </w:r>
      <w:r w:rsidR="009861BD" w:rsidRPr="00E0437F">
        <w:rPr>
          <w:shd w:val="clear" w:color="auto" w:fill="FFFFFF"/>
        </w:rPr>
        <w:t xml:space="preserve">обучающиеся должны </w:t>
      </w:r>
      <w:r w:rsidR="003406E3" w:rsidRPr="00E0437F">
        <w:rPr>
          <w:shd w:val="clear" w:color="auto" w:fill="FFFFFF"/>
        </w:rPr>
        <w:t>владеть навыками получения информации</w:t>
      </w:r>
      <w:r w:rsidR="009861BD" w:rsidRPr="00E0437F">
        <w:rPr>
          <w:shd w:val="clear" w:color="auto" w:fill="FFFFFF"/>
        </w:rPr>
        <w:t xml:space="preserve"> из источников разных типов</w:t>
      </w:r>
      <w:r w:rsidR="003406E3" w:rsidRPr="00E0437F">
        <w:rPr>
          <w:shd w:val="clear" w:color="auto" w:fill="FFFFFF"/>
        </w:rPr>
        <w:t>, осуществлять поиск, анализ, систематизацию и интерпретацию информации различных видов и форм представления.</w:t>
      </w:r>
      <w:r w:rsidR="005E3668" w:rsidRPr="00E0437F">
        <w:rPr>
          <w:shd w:val="clear" w:color="auto" w:fill="FFFFFF"/>
        </w:rPr>
        <w:t xml:space="preserve"> [1]</w:t>
      </w:r>
      <w:r w:rsidR="003406E3" w:rsidRPr="00E0437F">
        <w:rPr>
          <w:shd w:val="clear" w:color="auto" w:fill="FFFFFF"/>
        </w:rPr>
        <w:t xml:space="preserve"> Для </w:t>
      </w:r>
      <w:r w:rsidR="00055547" w:rsidRPr="00E0437F">
        <w:rPr>
          <w:shd w:val="clear" w:color="auto" w:fill="FFFFFF"/>
        </w:rPr>
        <w:t xml:space="preserve">получения успешного результата преподавателю необходимо применять нестандартные формы обучения. </w:t>
      </w:r>
    </w:p>
    <w:p w:rsidR="00E43EE2" w:rsidRPr="00E0437F" w:rsidRDefault="00055547" w:rsidP="00C625AB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rPr>
          <w:shd w:val="clear" w:color="auto" w:fill="FFFFFF"/>
        </w:rPr>
        <w:t xml:space="preserve">Примером может служить проведение бинарного занятия, объединяющего </w:t>
      </w:r>
      <w:r w:rsidRPr="00E0437F">
        <w:rPr>
          <w:color w:val="000000"/>
        </w:rPr>
        <w:t>содержание двух учебных дисциплин или профессиональных модулей.Такие занятия позволяют интегрировать знания из разных областей по изучению одной темы</w:t>
      </w:r>
      <w:r w:rsidR="00FD5AC5" w:rsidRPr="00E0437F">
        <w:rPr>
          <w:color w:val="000000"/>
        </w:rPr>
        <w:t>.</w:t>
      </w:r>
      <w:r w:rsidR="001B6DFA" w:rsidRPr="00E0437F">
        <w:rPr>
          <w:color w:val="000000"/>
        </w:rPr>
        <w:t xml:space="preserve"> Бинарная форма обучения по своей структуре и характеру существенно отличается от других видов обучения, т.к. при ней обеспечивается не только целостная связь теории с практикой, но и объединяются темы опорных знаний. Основу бинарного обучения составляет шаговая организация познавательной и практической деятельности обучающегося. </w:t>
      </w:r>
      <w:r w:rsidR="00FD5AC5" w:rsidRPr="00E0437F">
        <w:rPr>
          <w:color w:val="000000"/>
        </w:rPr>
        <w:t>Это творчество двух педагогов, которое перерастает в творческий процесс у студентов и вызывает высокую мотивацию к обучению. Бинарный урок позволяет создать условия для формирования коммуникативной компетенции</w:t>
      </w:r>
      <w:r w:rsidR="009F43CD" w:rsidRPr="00E0437F">
        <w:rPr>
          <w:color w:val="000000"/>
        </w:rPr>
        <w:t>обучающихся,</w:t>
      </w:r>
      <w:r w:rsidR="00FD5AC5" w:rsidRPr="00E0437F">
        <w:rPr>
          <w:color w:val="000000"/>
        </w:rPr>
        <w:t xml:space="preserve"> так как они получают возможность мыслить, решать проблемы, рассуждать </w:t>
      </w:r>
      <w:r w:rsidR="00FD5AC5" w:rsidRPr="00E0437F">
        <w:t>над путями решения этих проблем.</w:t>
      </w:r>
      <w:r w:rsidR="00C6648F" w:rsidRPr="00E0437F">
        <w:t xml:space="preserve">На бинарном </w:t>
      </w:r>
      <w:r w:rsidR="00232B84" w:rsidRPr="00E0437F">
        <w:t xml:space="preserve">уроке </w:t>
      </w:r>
      <w:r w:rsidR="00C6648F" w:rsidRPr="00E0437F">
        <w:t xml:space="preserve">реализуются многие принципы обучения, но приоритетными является направленность, когда содержание учебного материала максимально приближено к будущей практической деятельности. </w:t>
      </w:r>
    </w:p>
    <w:p w:rsidR="00804BBB" w:rsidRPr="00E0437F" w:rsidRDefault="00070458" w:rsidP="00E43EE2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t>Важно детально продумать структуру занятия. Если это вводное занятие, то необходимо обозначить проблемные вопросы, которые будут рассматриваться на последующих занятиях, сформулировать значимые проблемы</w:t>
      </w:r>
      <w:r w:rsidR="006871E3" w:rsidRPr="00E0437F">
        <w:t xml:space="preserve">. Бинарные учебные занятия требуют большой подготовки. На первом этапе необходимо разработать композицию занятия, определить ее основные части. Планирование начинается с анализа учебных программ с целью выявления близких тем. </w:t>
      </w:r>
      <w:r w:rsidR="00F13BC5" w:rsidRPr="00E0437F">
        <w:t xml:space="preserve">Далее следует определить, в какой степени этот материал поможет повысить мотивацию обучения и служить предметом заинтересованного общения, при этом учитывается объём и уровень знаний </w:t>
      </w:r>
      <w:r w:rsidR="00C625AB" w:rsidRPr="00E0437F">
        <w:t xml:space="preserve">обучающихся </w:t>
      </w:r>
      <w:r w:rsidR="00F13BC5" w:rsidRPr="00E0437F">
        <w:t>по предметам. [2]</w:t>
      </w:r>
    </w:p>
    <w:p w:rsidR="0043610F" w:rsidRPr="00E0437F" w:rsidRDefault="00891CC4" w:rsidP="00E43EE2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lastRenderedPageBreak/>
        <w:t>Примеры бинарных занятия при освоении ОД</w:t>
      </w:r>
      <w:r w:rsidR="00E16132" w:rsidRPr="00E0437F">
        <w:t>.06. Иностранный</w:t>
      </w:r>
      <w:r w:rsidRPr="00E0437F">
        <w:t xml:space="preserve"> язык </w:t>
      </w:r>
      <w:r w:rsidR="005C6AEB" w:rsidRPr="00E0437F">
        <w:t>обучающимися первого курса</w:t>
      </w:r>
      <w:r w:rsidRPr="00E0437F">
        <w:t xml:space="preserve"> медсестринского отделения: </w:t>
      </w:r>
    </w:p>
    <w:p w:rsidR="0043610F" w:rsidRPr="00E0437F" w:rsidRDefault="0043610F" w:rsidP="00E43EE2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t>1.</w:t>
      </w:r>
      <w:r w:rsidR="005C6AEB" w:rsidRPr="00E0437F">
        <w:t>Тема: «Писатели – медики». (</w:t>
      </w:r>
      <w:r w:rsidR="005270E4" w:rsidRPr="00E0437F">
        <w:t>ОД</w:t>
      </w:r>
      <w:r w:rsidR="003B514F" w:rsidRPr="00E0437F">
        <w:t>. 02</w:t>
      </w:r>
      <w:r w:rsidR="008675E4" w:rsidRPr="00E0437F">
        <w:t>.</w:t>
      </w:r>
      <w:r w:rsidR="005270E4" w:rsidRPr="00E0437F">
        <w:t xml:space="preserve"> Литература, ОД</w:t>
      </w:r>
      <w:r w:rsidR="003B514F" w:rsidRPr="00E0437F">
        <w:t>.</w:t>
      </w:r>
      <w:r w:rsidR="005270E4" w:rsidRPr="00E0437F">
        <w:t xml:space="preserve"> </w:t>
      </w:r>
      <w:r w:rsidR="003B514F" w:rsidRPr="00E0437F">
        <w:t>06</w:t>
      </w:r>
      <w:r w:rsidR="008675E4" w:rsidRPr="00E0437F">
        <w:t>.</w:t>
      </w:r>
      <w:r w:rsidR="003B514F" w:rsidRPr="00E0437F">
        <w:t xml:space="preserve"> </w:t>
      </w:r>
      <w:r w:rsidR="005270E4" w:rsidRPr="00E0437F">
        <w:t>Иностранный язык</w:t>
      </w:r>
      <w:r w:rsidR="005C6AEB" w:rsidRPr="00E0437F">
        <w:t xml:space="preserve">); </w:t>
      </w:r>
    </w:p>
    <w:p w:rsidR="0043610F" w:rsidRPr="00E0437F" w:rsidRDefault="005C6AEB" w:rsidP="00E43EE2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t>2.</w:t>
      </w:r>
      <w:r w:rsidR="0043610F" w:rsidRPr="00E0437F">
        <w:t xml:space="preserve">Тема: </w:t>
      </w:r>
      <w:r w:rsidR="00381F37" w:rsidRPr="00E0437F">
        <w:t xml:space="preserve">«Чтобы жили! </w:t>
      </w:r>
      <w:r w:rsidRPr="00E0437F">
        <w:t xml:space="preserve">Подвигу </w:t>
      </w:r>
      <w:r w:rsidR="008675E4" w:rsidRPr="00E0437F">
        <w:t>медицинских сестё</w:t>
      </w:r>
      <w:r w:rsidRPr="00E0437F">
        <w:t>р во время Великой Отечественной войны посвящается». (ОД</w:t>
      </w:r>
      <w:r w:rsidR="003B514F" w:rsidRPr="00E0437F">
        <w:t>.03</w:t>
      </w:r>
      <w:r w:rsidR="008675E4" w:rsidRPr="00E0437F">
        <w:t>.</w:t>
      </w:r>
      <w:r w:rsidRPr="00E0437F">
        <w:t xml:space="preserve"> История, ОД</w:t>
      </w:r>
      <w:r w:rsidR="003B514F" w:rsidRPr="00E0437F">
        <w:t>.06</w:t>
      </w:r>
      <w:r w:rsidR="008675E4" w:rsidRPr="00E0437F">
        <w:t>.</w:t>
      </w:r>
      <w:r w:rsidRPr="00E0437F">
        <w:t xml:space="preserve"> Иностранный язык);</w:t>
      </w:r>
    </w:p>
    <w:p w:rsidR="004C5DC4" w:rsidRPr="00E0437F" w:rsidRDefault="004C5DC4" w:rsidP="00E43EE2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t>3</w:t>
      </w:r>
      <w:r w:rsidR="005C6AEB" w:rsidRPr="00E0437F">
        <w:t>.</w:t>
      </w:r>
      <w:r w:rsidR="0043610F" w:rsidRPr="00E0437F">
        <w:t xml:space="preserve">Тема: </w:t>
      </w:r>
      <w:r w:rsidR="005C6AEB" w:rsidRPr="00E0437F">
        <w:t>«Туберкулёз на страницах литературы»</w:t>
      </w:r>
      <w:r w:rsidR="003B514F" w:rsidRPr="00E0437F">
        <w:t>. (</w:t>
      </w:r>
      <w:r w:rsidRPr="00E0437F">
        <w:t>ОД</w:t>
      </w:r>
      <w:r w:rsidR="003B514F" w:rsidRPr="00E0437F">
        <w:t>.02</w:t>
      </w:r>
      <w:r w:rsidR="008675E4" w:rsidRPr="00E0437F">
        <w:t>.</w:t>
      </w:r>
      <w:r w:rsidRPr="00E0437F">
        <w:t xml:space="preserve"> Литература, ОД</w:t>
      </w:r>
      <w:r w:rsidR="003B514F" w:rsidRPr="00E0437F">
        <w:t>.06</w:t>
      </w:r>
      <w:r w:rsidR="008675E4" w:rsidRPr="00E0437F">
        <w:t>.</w:t>
      </w:r>
      <w:r w:rsidRPr="00E0437F">
        <w:t xml:space="preserve"> Иностранный язык); </w:t>
      </w:r>
    </w:p>
    <w:p w:rsidR="00254276" w:rsidRPr="00E0437F" w:rsidRDefault="00254276" w:rsidP="00E43EE2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t xml:space="preserve">4. </w:t>
      </w:r>
      <w:r w:rsidR="0043610F" w:rsidRPr="00E0437F">
        <w:t xml:space="preserve"> Тема: «География болезней». (ОД</w:t>
      </w:r>
      <w:r w:rsidR="003B514F" w:rsidRPr="00E0437F">
        <w:t>.05</w:t>
      </w:r>
      <w:r w:rsidR="008675E4" w:rsidRPr="00E0437F">
        <w:t>.</w:t>
      </w:r>
      <w:r w:rsidR="0043610F" w:rsidRPr="00E0437F">
        <w:t xml:space="preserve"> География</w:t>
      </w:r>
      <w:r w:rsidR="003B514F" w:rsidRPr="00E0437F">
        <w:t>,</w:t>
      </w:r>
      <w:r w:rsidR="0043610F" w:rsidRPr="00E0437F">
        <w:t xml:space="preserve"> ОД</w:t>
      </w:r>
      <w:r w:rsidR="003B514F" w:rsidRPr="00E0437F">
        <w:t>.06</w:t>
      </w:r>
      <w:r w:rsidR="008675E4" w:rsidRPr="00E0437F">
        <w:t>.</w:t>
      </w:r>
      <w:r w:rsidR="003B514F" w:rsidRPr="00E0437F">
        <w:t xml:space="preserve"> </w:t>
      </w:r>
      <w:r w:rsidR="0043610F" w:rsidRPr="00E0437F">
        <w:t xml:space="preserve"> Иностранный язык </w:t>
      </w:r>
    </w:p>
    <w:p w:rsidR="004C5DC4" w:rsidRPr="00E0437F" w:rsidRDefault="004C5DC4" w:rsidP="00E43EE2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t xml:space="preserve">Примеры </w:t>
      </w:r>
      <w:r w:rsidR="003B514F" w:rsidRPr="00E0437F">
        <w:t xml:space="preserve">бинарных занятия при освоении </w:t>
      </w:r>
      <w:proofErr w:type="gramStart"/>
      <w:r w:rsidR="003B514F" w:rsidRPr="00E0437F">
        <w:t>дисциплины  Иностранный</w:t>
      </w:r>
      <w:proofErr w:type="gramEnd"/>
      <w:r w:rsidRPr="00E0437F">
        <w:t xml:space="preserve"> язык обучающимися второго курса медсестринского отделения:</w:t>
      </w:r>
    </w:p>
    <w:p w:rsidR="004C5DC4" w:rsidRPr="00E0437F" w:rsidRDefault="004C5DC4" w:rsidP="004C5DC4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t xml:space="preserve">1. «От чумных докторов до </w:t>
      </w:r>
      <w:proofErr w:type="spellStart"/>
      <w:r w:rsidRPr="00E0437F">
        <w:t>ковид</w:t>
      </w:r>
      <w:proofErr w:type="spellEnd"/>
      <w:r w:rsidRPr="00E0437F">
        <w:t xml:space="preserve"> -д</w:t>
      </w:r>
      <w:r w:rsidR="008675E4" w:rsidRPr="00E0437F">
        <w:t>иссидентов. История вакцинации»;</w:t>
      </w:r>
      <w:r w:rsidRPr="00E0437F">
        <w:t xml:space="preserve">  </w:t>
      </w:r>
    </w:p>
    <w:p w:rsidR="005270E4" w:rsidRPr="00E0437F" w:rsidRDefault="004C5DC4" w:rsidP="00E43EE2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t>2. «Санитарные поезда во время Великой Отечественной войны»</w:t>
      </w:r>
      <w:r w:rsidR="008675E4" w:rsidRPr="00E0437F">
        <w:t>.</w:t>
      </w:r>
    </w:p>
    <w:p w:rsidR="006871E3" w:rsidRPr="00E0437F" w:rsidRDefault="006871E3" w:rsidP="00804BBB">
      <w:pPr>
        <w:pStyle w:val="a4"/>
        <w:shd w:val="clear" w:color="auto" w:fill="FFFFFF"/>
        <w:spacing w:before="0" w:beforeAutospacing="0" w:after="0" w:afterAutospacing="0"/>
        <w:jc w:val="both"/>
      </w:pPr>
      <w:r w:rsidRPr="00E0437F">
        <w:t xml:space="preserve">Опыт моей работы позволил </w:t>
      </w:r>
      <w:r w:rsidR="009F43CD" w:rsidRPr="00E0437F">
        <w:t>определить следующие</w:t>
      </w:r>
      <w:r w:rsidR="008675E4" w:rsidRPr="00E0437F">
        <w:t xml:space="preserve"> </w:t>
      </w:r>
      <w:r w:rsidRPr="00E0437F">
        <w:t>достоинства бинарных учебных занятий:</w:t>
      </w:r>
    </w:p>
    <w:p w:rsidR="006871E3" w:rsidRPr="00E0437F" w:rsidRDefault="006871E3" w:rsidP="00804BB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данная модель обучения предполагает активное использование проблемно-поисковых технологий; </w:t>
      </w:r>
    </w:p>
    <w:p w:rsidR="00804BBB" w:rsidRPr="00E0437F" w:rsidRDefault="00804BBB" w:rsidP="00804BB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такие </w:t>
      </w:r>
      <w:r w:rsidR="006871E3"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</w:t>
      </w:r>
      <w:r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позволяют усилить мотивацию обу</w:t>
      </w:r>
      <w:r w:rsidR="006871E3"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благодаря совместной деятельности преподавателей и </w:t>
      </w:r>
      <w:r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обучающихся; </w:t>
      </w:r>
    </w:p>
    <w:p w:rsidR="00804BBB" w:rsidRPr="00E0437F" w:rsidRDefault="00804BBB" w:rsidP="00804BB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71E3"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характер заданий позволяют раскрывать творческий потенциал обучающихся; сотворчество, сближает в познавательной деятельности преподавателя и обучающегося;</w:t>
      </w:r>
    </w:p>
    <w:p w:rsidR="001B6DFA" w:rsidRPr="00E0437F" w:rsidRDefault="00804BBB" w:rsidP="00F13BC5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71E3"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 охвата за небольшой промежуток времени всей аудитории, увеличивая вовлеченность обучающихся в учебный процесс.</w:t>
      </w:r>
    </w:p>
    <w:p w:rsidR="0086413D" w:rsidRPr="00E0437F" w:rsidRDefault="00B7629F" w:rsidP="00B7629F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педагогические усилия двух педагогов позволяют на высоком уровне вести профессиональнее обучение. Занятия характеризуются особой, доверительной атмосферой между участниками образовательного процесса, сотворчеством, соучастием педагогов и обучающихся в планировании, проведении и анализе занятия, на котором создаются максимально благоприятные условия для превращения обучающихся в активных субъектов учебного процесса. [3</w:t>
      </w:r>
      <w:r w:rsidR="004E46C1"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>] Бинарные</w:t>
      </w:r>
      <w:r w:rsidR="00804BBB"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обладают огромным воспитательным потенциалом, так как позволяют обучающимся принимать решения в творческих ситуациях.</w:t>
      </w:r>
      <w:r w:rsidR="003B514F"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BBB"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более высокий уровень сотрудничества педагогов</w:t>
      </w:r>
      <w:r w:rsidR="009F43CD"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обучающихся, </w:t>
      </w:r>
      <w:r w:rsidR="009F43CD" w:rsidRPr="00E0437F">
        <w:rPr>
          <w:rFonts w:ascii="Times New Roman" w:hAnsi="Times New Roman" w:cs="Times New Roman"/>
          <w:sz w:val="24"/>
          <w:szCs w:val="24"/>
        </w:rPr>
        <w:t xml:space="preserve">позволяющий </w:t>
      </w:r>
      <w:r w:rsidR="0086413D" w:rsidRPr="00E0437F">
        <w:rPr>
          <w:rFonts w:ascii="Times New Roman" w:hAnsi="Times New Roman" w:cs="Times New Roman"/>
          <w:sz w:val="24"/>
          <w:szCs w:val="24"/>
        </w:rPr>
        <w:t>организовать</w:t>
      </w:r>
      <w:r w:rsidR="009F43CD" w:rsidRPr="00E0437F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и с</w:t>
      </w:r>
      <w:r w:rsidR="0086413D" w:rsidRPr="00E0437F">
        <w:rPr>
          <w:rFonts w:ascii="Times New Roman" w:hAnsi="Times New Roman" w:cs="Times New Roman"/>
          <w:sz w:val="24"/>
          <w:szCs w:val="24"/>
        </w:rPr>
        <w:t xml:space="preserve">формировать профессиональные компетенции. </w:t>
      </w:r>
    </w:p>
    <w:p w:rsidR="00FB15AA" w:rsidRPr="00E0437F" w:rsidRDefault="00FB15AA" w:rsidP="00B7629F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31" w:rsidRPr="00E0437F" w:rsidRDefault="00FB15AA" w:rsidP="00FB1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3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Использованные источники</w:t>
      </w:r>
    </w:p>
    <w:p w:rsidR="00B9482C" w:rsidRPr="00E0437F" w:rsidRDefault="00FB15AA" w:rsidP="003B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482C" w:rsidRPr="00E0437F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04.07.2022г.  №527 «Об утверждении федерального государственного образовательного стандарта среднего профессионального образования по спе</w:t>
      </w:r>
      <w:r w:rsidR="003B514F" w:rsidRPr="00E04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циальности 34.02.01 Сестринское </w:t>
      </w:r>
      <w:r w:rsidR="00B9482C" w:rsidRPr="00E04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дело» </w:t>
      </w:r>
      <w:r w:rsidR="00B9482C" w:rsidRPr="00E0437F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B9482C" w:rsidRPr="00E0437F">
        <w:rPr>
          <w:rFonts w:ascii="Times New Roman" w:hAnsi="Times New Roman" w:cs="Times New Roman"/>
          <w:sz w:val="24"/>
          <w:szCs w:val="24"/>
        </w:rPr>
        <w:t xml:space="preserve">]  </w:t>
      </w:r>
      <w:hyperlink r:id="rId5" w:history="1">
        <w:r w:rsidR="00B9482C" w:rsidRPr="00E0437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http://publication.pravo.gov.ru/Document/View/0001202207290028?ysclid=loo22404w3881285369&amp;index=1</w:t>
        </w:r>
        <w:proofErr w:type="gramEnd"/>
      </w:hyperlink>
      <w:r w:rsidR="00B9482C" w:rsidRPr="00E0437F">
        <w:rPr>
          <w:rFonts w:ascii="Times New Roman" w:hAnsi="Times New Roman" w:cs="Times New Roman"/>
          <w:sz w:val="24"/>
          <w:szCs w:val="24"/>
        </w:rPr>
        <w:t xml:space="preserve"> (дата обращения: 07.11.2023)</w:t>
      </w:r>
    </w:p>
    <w:p w:rsidR="00E16132" w:rsidRPr="00E0437F" w:rsidRDefault="00FB15AA" w:rsidP="003B514F">
      <w:pPr>
        <w:pStyle w:val="a3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437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A213F" w:rsidRPr="00E0437F">
        <w:rPr>
          <w:rFonts w:ascii="Times New Roman" w:hAnsi="Times New Roman" w:cs="Times New Roman"/>
          <w:sz w:val="24"/>
          <w:szCs w:val="24"/>
          <w:lang w:eastAsia="ru-RU"/>
        </w:rPr>
        <w:t>Гуменюк О.Ю., Падалко О.А. Технология бинарного обучения</w:t>
      </w:r>
      <w:r w:rsidR="00383259" w:rsidRPr="00E0437F">
        <w:rPr>
          <w:rFonts w:ascii="Times New Roman" w:hAnsi="Times New Roman" w:cs="Times New Roman"/>
          <w:sz w:val="24"/>
          <w:szCs w:val="24"/>
          <w:lang w:eastAsia="ru-RU"/>
        </w:rPr>
        <w:t xml:space="preserve"> [Электронный ресурс] /</w:t>
      </w:r>
      <w:r w:rsidR="00383259" w:rsidRPr="00E0437F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="00383259" w:rsidRPr="00E0437F">
        <w:rPr>
          <w:rFonts w:ascii="Times New Roman" w:hAnsi="Times New Roman" w:cs="Times New Roman"/>
          <w:sz w:val="24"/>
          <w:szCs w:val="24"/>
          <w:lang w:eastAsia="ru-RU"/>
        </w:rPr>
        <w:t xml:space="preserve">.Ю </w:t>
      </w:r>
      <w:proofErr w:type="spellStart"/>
      <w:r w:rsidR="00383259" w:rsidRPr="00E0437F">
        <w:rPr>
          <w:rFonts w:ascii="Times New Roman" w:hAnsi="Times New Roman" w:cs="Times New Roman"/>
          <w:sz w:val="24"/>
          <w:szCs w:val="24"/>
          <w:lang w:eastAsia="ru-RU"/>
        </w:rPr>
        <w:t>Гуменюк</w:t>
      </w:r>
      <w:proofErr w:type="spellEnd"/>
      <w:r w:rsidR="00383259" w:rsidRPr="00E0437F">
        <w:rPr>
          <w:rFonts w:ascii="Times New Roman" w:hAnsi="Times New Roman" w:cs="Times New Roman"/>
          <w:sz w:val="24"/>
          <w:szCs w:val="24"/>
          <w:lang w:eastAsia="ru-RU"/>
        </w:rPr>
        <w:t xml:space="preserve">, О.А. Падалко// </w:t>
      </w:r>
      <w:hyperlink r:id="rId6" w:history="1">
        <w:r w:rsidR="00AA213F" w:rsidRPr="00E0437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https://infourok.ru/doklad-tehnologiya-binarnogo-obucheniya-1436112.html?ysclid=lon2ba5la2714793108</w:t>
        </w:r>
      </w:hyperlink>
      <w:r w:rsidR="00E16132" w:rsidRPr="00E0437F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AA213F" w:rsidRPr="00E0437F" w:rsidRDefault="0051056D" w:rsidP="003B51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37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437F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0437F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обращения 07.11.2023) </w:t>
      </w:r>
    </w:p>
    <w:p w:rsidR="00FB15AA" w:rsidRPr="00E0437F" w:rsidRDefault="00FB15AA" w:rsidP="003B51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37F">
        <w:rPr>
          <w:rFonts w:ascii="Times New Roman" w:hAnsi="Times New Roman" w:cs="Times New Roman"/>
          <w:sz w:val="24"/>
          <w:szCs w:val="24"/>
          <w:lang w:eastAsia="ru-RU"/>
        </w:rPr>
        <w:t>3. Матвиенко С.В. Бинарные занятия в системе с</w:t>
      </w:r>
      <w:r w:rsidR="00AA213F" w:rsidRPr="00E0437F">
        <w:rPr>
          <w:rFonts w:ascii="Times New Roman" w:hAnsi="Times New Roman" w:cs="Times New Roman"/>
          <w:sz w:val="24"/>
          <w:szCs w:val="24"/>
          <w:lang w:eastAsia="ru-RU"/>
        </w:rPr>
        <w:t xml:space="preserve">овременного образования </w:t>
      </w:r>
      <w:r w:rsidR="004E46C1" w:rsidRPr="00E0437F">
        <w:rPr>
          <w:rFonts w:ascii="Times New Roman" w:hAnsi="Times New Roman" w:cs="Times New Roman"/>
          <w:sz w:val="24"/>
          <w:szCs w:val="24"/>
          <w:lang w:eastAsia="ru-RU"/>
        </w:rPr>
        <w:t xml:space="preserve">[Электронный </w:t>
      </w:r>
      <w:proofErr w:type="gramStart"/>
      <w:r w:rsidR="004E46C1" w:rsidRPr="00E0437F">
        <w:rPr>
          <w:rFonts w:ascii="Times New Roman" w:hAnsi="Times New Roman" w:cs="Times New Roman"/>
          <w:sz w:val="24"/>
          <w:szCs w:val="24"/>
          <w:lang w:eastAsia="ru-RU"/>
        </w:rPr>
        <w:t>ресурс</w:t>
      </w:r>
      <w:proofErr w:type="gramEnd"/>
      <w:r w:rsidR="004E46C1" w:rsidRPr="00E0437F">
        <w:rPr>
          <w:rFonts w:ascii="Times New Roman" w:hAnsi="Times New Roman" w:cs="Times New Roman"/>
          <w:sz w:val="24"/>
          <w:szCs w:val="24"/>
          <w:lang w:eastAsia="ru-RU"/>
        </w:rPr>
        <w:t>] /С.В. Матвиенко //</w:t>
      </w:r>
    </w:p>
    <w:p w:rsidR="00AA213F" w:rsidRPr="00E0437F" w:rsidRDefault="00E0437F" w:rsidP="003B5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proofErr w:type="gramStart"/>
        <w:r w:rsidR="00AA213F" w:rsidRPr="00E0437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https://scientificjournal.ru/images/PDF/2020/82/binarnye-zanyatiya-.pdf?ysclid=lon569j32c89367560</w:t>
        </w:r>
      </w:hyperlink>
      <w:r w:rsidR="00E16132" w:rsidRPr="00E0437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1056D" w:rsidRPr="00E043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056D" w:rsidRPr="00E0437F">
        <w:rPr>
          <w:rFonts w:ascii="Times New Roman" w:hAnsi="Times New Roman" w:cs="Times New Roman"/>
          <w:sz w:val="24"/>
          <w:szCs w:val="24"/>
        </w:rPr>
        <w:t>дата обращения: 07.11.2023)</w:t>
      </w:r>
    </w:p>
    <w:p w:rsidR="00AA213F" w:rsidRPr="00E0437F" w:rsidRDefault="00AA213F" w:rsidP="00AA21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52FE" w:rsidRPr="00E0437F" w:rsidRDefault="00F452FE" w:rsidP="00AA213F">
      <w:pPr>
        <w:spacing w:after="0"/>
        <w:rPr>
          <w:sz w:val="24"/>
          <w:szCs w:val="24"/>
        </w:rPr>
      </w:pPr>
    </w:p>
    <w:p w:rsidR="00010E90" w:rsidRPr="00E0437F" w:rsidRDefault="00010E90" w:rsidP="0042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82C" w:rsidRPr="00E0437F" w:rsidRDefault="00B9482C">
      <w:pPr>
        <w:rPr>
          <w:rFonts w:ascii="Times New Roman" w:hAnsi="Times New Roman" w:cs="Times New Roman"/>
          <w:sz w:val="24"/>
          <w:szCs w:val="24"/>
        </w:rPr>
      </w:pPr>
    </w:p>
    <w:sectPr w:rsidR="00B9482C" w:rsidRPr="00E0437F" w:rsidSect="006263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381"/>
    <w:multiLevelType w:val="multilevel"/>
    <w:tmpl w:val="1FF0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5222E"/>
    <w:multiLevelType w:val="multilevel"/>
    <w:tmpl w:val="F54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873FD"/>
    <w:multiLevelType w:val="multilevel"/>
    <w:tmpl w:val="2830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D1727"/>
    <w:multiLevelType w:val="multilevel"/>
    <w:tmpl w:val="ACAC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353"/>
    <w:rsid w:val="00010E90"/>
    <w:rsid w:val="0005428B"/>
    <w:rsid w:val="00055547"/>
    <w:rsid w:val="0006308C"/>
    <w:rsid w:val="00070458"/>
    <w:rsid w:val="00106373"/>
    <w:rsid w:val="0014414E"/>
    <w:rsid w:val="001B6DFA"/>
    <w:rsid w:val="00232B84"/>
    <w:rsid w:val="00254276"/>
    <w:rsid w:val="002F6505"/>
    <w:rsid w:val="003406E3"/>
    <w:rsid w:val="0035136B"/>
    <w:rsid w:val="00381F37"/>
    <w:rsid w:val="00383259"/>
    <w:rsid w:val="00390171"/>
    <w:rsid w:val="003A534A"/>
    <w:rsid w:val="003B514F"/>
    <w:rsid w:val="00407593"/>
    <w:rsid w:val="00426AF6"/>
    <w:rsid w:val="0043610F"/>
    <w:rsid w:val="004655A9"/>
    <w:rsid w:val="004C5DC4"/>
    <w:rsid w:val="004E46C1"/>
    <w:rsid w:val="0051056D"/>
    <w:rsid w:val="005270E4"/>
    <w:rsid w:val="00585156"/>
    <w:rsid w:val="005C6AEB"/>
    <w:rsid w:val="005E0131"/>
    <w:rsid w:val="005E3668"/>
    <w:rsid w:val="0062637C"/>
    <w:rsid w:val="006858DD"/>
    <w:rsid w:val="006871E3"/>
    <w:rsid w:val="00742A21"/>
    <w:rsid w:val="007B27E0"/>
    <w:rsid w:val="00804BBB"/>
    <w:rsid w:val="008058CE"/>
    <w:rsid w:val="0086413D"/>
    <w:rsid w:val="008675E4"/>
    <w:rsid w:val="00891CC4"/>
    <w:rsid w:val="008F08FC"/>
    <w:rsid w:val="0091564F"/>
    <w:rsid w:val="00924A3C"/>
    <w:rsid w:val="009861BD"/>
    <w:rsid w:val="009C2146"/>
    <w:rsid w:val="009F43CD"/>
    <w:rsid w:val="00AA213F"/>
    <w:rsid w:val="00AD0353"/>
    <w:rsid w:val="00B7629F"/>
    <w:rsid w:val="00B9482C"/>
    <w:rsid w:val="00BC35C0"/>
    <w:rsid w:val="00C625AB"/>
    <w:rsid w:val="00C6648F"/>
    <w:rsid w:val="00DA113D"/>
    <w:rsid w:val="00E0437F"/>
    <w:rsid w:val="00E16132"/>
    <w:rsid w:val="00E24F4B"/>
    <w:rsid w:val="00E43EE2"/>
    <w:rsid w:val="00E940B6"/>
    <w:rsid w:val="00F05717"/>
    <w:rsid w:val="00F13BC5"/>
    <w:rsid w:val="00F452FE"/>
    <w:rsid w:val="00F57D7D"/>
    <w:rsid w:val="00F92526"/>
    <w:rsid w:val="00FB15AA"/>
    <w:rsid w:val="00FD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3B8BF-856B-4ED4-89E9-699FB2D6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8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B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1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0E9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4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tificjournal.ru/images/PDF/2020/82/binarnye-zanyatiya-.pdf?ysclid=lon569j32c89367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doklad-tehnologiya-binarnogo-obucheniya-1436112.html?ysclid=lon2ba5la2714793108" TargetMode="External"/><Relationship Id="rId5" Type="http://schemas.openxmlformats.org/officeDocument/2006/relationships/hyperlink" Target="http://publication.pravo.gov.ru/Document/View/0001202207290028?ysclid=loo22404w3881285369&amp;index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2023-10-16T05:09:00Z</dcterms:created>
  <dcterms:modified xsi:type="dcterms:W3CDTF">2024-03-27T08:17:00Z</dcterms:modified>
</cp:coreProperties>
</file>